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智能化驿站建设项目综合评分表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76" w:lineRule="exact"/>
        <w:ind w:right="0" w:rightChars="0"/>
        <w:jc w:val="center"/>
        <w:textAlignment w:val="auto"/>
        <w:rPr>
          <w:rFonts w:hint="default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5"/>
        <w:tblW w:w="15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1"/>
        <w:gridCol w:w="1377"/>
        <w:gridCol w:w="11339"/>
        <w:gridCol w:w="1105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821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377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评分项</w:t>
            </w:r>
          </w:p>
        </w:tc>
        <w:tc>
          <w:tcPr>
            <w:tcW w:w="11339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评  分  标  准</w:t>
            </w:r>
          </w:p>
        </w:tc>
        <w:tc>
          <w:tcPr>
            <w:tcW w:w="1105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得分</w:t>
            </w:r>
          </w:p>
        </w:tc>
        <w:tc>
          <w:tcPr>
            <w:tcW w:w="874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1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7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" w:asciiTheme="minorAscii" w:hAnsiTheme="minorAsci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（30分）</w:t>
            </w:r>
          </w:p>
        </w:tc>
        <w:tc>
          <w:tcPr>
            <w:tcW w:w="1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  <w:vertAlign w:val="baseline"/>
              </w:rPr>
              <w:t>所投产品的技术参数完全符合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比选文件</w:t>
            </w:r>
            <w:r>
              <w:rPr>
                <w:rFonts w:hint="eastAsia"/>
                <w:sz w:val="28"/>
                <w:szCs w:val="28"/>
                <w:vertAlign w:val="baseline"/>
              </w:rPr>
              <w:t>要求得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  <w:r>
              <w:rPr>
                <w:rFonts w:hint="eastAsia"/>
                <w:sz w:val="28"/>
                <w:szCs w:val="28"/>
                <w:vertAlign w:val="baseline"/>
              </w:rPr>
              <w:t>分；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  <w:vertAlign w:val="baseline"/>
              </w:rPr>
              <w:t>所投产品的技术参数不符合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比选文件</w:t>
            </w:r>
            <w:r>
              <w:rPr>
                <w:rFonts w:hint="eastAsia"/>
                <w:sz w:val="28"/>
                <w:szCs w:val="28"/>
                <w:vertAlign w:val="baseline"/>
              </w:rPr>
              <w:t>要求的，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该项不得分。</w:t>
            </w:r>
          </w:p>
        </w:tc>
        <w:tc>
          <w:tcPr>
            <w:tcW w:w="11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63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履约能力</w:t>
            </w: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1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具有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计算机</w:t>
            </w:r>
            <w:r>
              <w:rPr>
                <w:rFonts w:hint="eastAsia"/>
                <w:vertAlign w:val="baseline"/>
                <w:lang w:val="en-US" w:eastAsia="zh-CN"/>
              </w:rPr>
              <w:t>系统集成、安防系统经营证书，没有相关经营资质的该项不得分。具有同类项目业绩的，每个项目加2分，最高加分不超过6分。</w:t>
            </w:r>
          </w:p>
        </w:tc>
        <w:tc>
          <w:tcPr>
            <w:tcW w:w="11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22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1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根据供应商提供的技术服务方案（包括但不限于系统总体设计、建设方案、功能介绍、安全设计、后续服务方案、培训方案等进行综合比较打分，内容全面完整、满足文件要求且符合项目实际情况的得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分。每有一项漏项的扣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分，某一处不全面不详细或不满足项目实际情况的扣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分，扣完为止。</w:t>
            </w:r>
          </w:p>
        </w:tc>
        <w:tc>
          <w:tcPr>
            <w:tcW w:w="11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15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  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  <w:r>
              <w:rPr>
                <w:rFonts w:hint="eastAsia"/>
                <w:vertAlign w:val="baseline"/>
                <w:lang w:val="en-US" w:eastAsia="zh-CN"/>
              </w:rPr>
              <w:t>分）</w:t>
            </w:r>
          </w:p>
        </w:tc>
        <w:tc>
          <w:tcPr>
            <w:tcW w:w="1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报价低于40万为有效报价，高于40万为无效报价。无效报价该项不得分。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有效报价中的最低报价为评标基准价，按照下列公式计算每个供应商的投标价格得分。公式：投标报价得分=(评标基准价／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报价)×100%×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0。</w:t>
            </w:r>
          </w:p>
        </w:tc>
        <w:tc>
          <w:tcPr>
            <w:tcW w:w="11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4" w:type="dxa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MjEwMzIwYjczNDY2NjBkYjY3Mzk0YjdjZDNjYTUifQ=="/>
  </w:docVars>
  <w:rsids>
    <w:rsidRoot w:val="23910153"/>
    <w:rsid w:val="11591A84"/>
    <w:rsid w:val="23910153"/>
    <w:rsid w:val="3EB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2024-06-20T02:47:00Z</dcterms:created>
  <dc:creator>可苦可乐</dc:creator>
  <cp:lastModifiedBy>可苦可乐</cp:lastModifiedBy>
  <dcterms:modified xsi:type="dcterms:W3CDTF">2024-06-20T03:30:00Z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996EB39D0E794469B83CC88288158706_11</vt:lpwstr>
  </property>
</Properties>
</file>